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1593C8B6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E20AB4">
        <w:rPr>
          <w:rFonts w:ascii="Calibri" w:hAnsi="Calibri" w:cs="Calibri"/>
          <w:b/>
        </w:rPr>
        <w:t>aparatury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6B3D28E2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 xml:space="preserve">Część nr </w:t>
      </w:r>
      <w:r w:rsidR="00314EE6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– Zakup i dostawa </w:t>
      </w:r>
      <w:r w:rsidR="00314EE6">
        <w:rPr>
          <w:rFonts w:ascii="Calibri" w:hAnsi="Calibri" w:cs="Calibri"/>
          <w:b/>
        </w:rPr>
        <w:t>defibrylatora treningowego AED</w:t>
      </w:r>
      <w:r>
        <w:rPr>
          <w:rFonts w:ascii="Calibri" w:hAnsi="Calibri" w:cs="Calibri"/>
          <w:b/>
        </w:rPr>
        <w:t xml:space="preserve"> na potrzeby </w:t>
      </w:r>
      <w:r w:rsidR="000F16AC">
        <w:rPr>
          <w:rFonts w:ascii="Calibri" w:hAnsi="Calibri" w:cs="Calibri"/>
          <w:b/>
        </w:rPr>
        <w:t>Wydziału Nauk o Zdrowiu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4D3C3F" w:rsidRPr="00A44390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A44390" w:rsidRDefault="004D3C3F" w:rsidP="004D3C3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A44390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D9B96E4" w14:textId="77107D40" w:rsidR="00342C1F" w:rsidRPr="00314EE6" w:rsidRDefault="00314EE6" w:rsidP="00314EE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14EE6">
              <w:rPr>
                <w:rFonts w:cstheme="minorHAnsi"/>
                <w:color w:val="000000" w:themeColor="text1"/>
                <w:sz w:val="24"/>
                <w:szCs w:val="24"/>
              </w:rPr>
              <w:t>Urządzenia i ich komponenty nie zawierają substancji szkodliwych wskazanych w rozporządzeniu REACH</w:t>
            </w:r>
          </w:p>
        </w:tc>
        <w:tc>
          <w:tcPr>
            <w:tcW w:w="3541" w:type="dxa"/>
            <w:vMerge w:val="restart"/>
          </w:tcPr>
          <w:p w14:paraId="04F899F9" w14:textId="3A705A6F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314EE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A44390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603F7B3" w14:textId="25E45ECA" w:rsidR="00342C1F" w:rsidRPr="00314EE6" w:rsidRDefault="00314EE6" w:rsidP="00314EE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14EE6">
              <w:rPr>
                <w:rFonts w:cstheme="minorHAnsi"/>
                <w:color w:val="000000" w:themeColor="text1"/>
                <w:sz w:val="24"/>
                <w:szCs w:val="24"/>
              </w:rPr>
              <w:t>Obudowy urządzeń oraz elementy plastikowe wykonane są z materiałów nadających się do recyklingu.</w:t>
            </w:r>
          </w:p>
        </w:tc>
        <w:tc>
          <w:tcPr>
            <w:tcW w:w="3541" w:type="dxa"/>
            <w:vMerge/>
          </w:tcPr>
          <w:p w14:paraId="11427FFF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1E77A850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Urządzenia zostały zaprojektowane z</w:t>
            </w:r>
          </w:p>
          <w:p w14:paraId="6F80D5AF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możliwością demontażu celem późniejszego</w:t>
            </w:r>
          </w:p>
          <w:p w14:paraId="34CFEB75" w14:textId="399829CB" w:rsidR="00342C1F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odzysku komponentów i bezpiecznej utylizacji.</w:t>
            </w:r>
          </w:p>
        </w:tc>
        <w:tc>
          <w:tcPr>
            <w:tcW w:w="3541" w:type="dxa"/>
            <w:vMerge/>
          </w:tcPr>
          <w:p w14:paraId="2788C637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8EFFE7F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Opakowania zostały wykonane z materiałów</w:t>
            </w:r>
          </w:p>
          <w:p w14:paraId="1A032415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biodegradowalnych lub w pełni nadających się</w:t>
            </w:r>
          </w:p>
          <w:p w14:paraId="058BFA39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do recyklingu. Nie zastosowano opakowań</w:t>
            </w:r>
          </w:p>
          <w:p w14:paraId="784233E0" w14:textId="34C9F851" w:rsidR="00342C1F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wykonanych z PVC.</w:t>
            </w:r>
          </w:p>
        </w:tc>
        <w:tc>
          <w:tcPr>
            <w:tcW w:w="3541" w:type="dxa"/>
            <w:vMerge/>
          </w:tcPr>
          <w:p w14:paraId="1ECD19A1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A44390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A44390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FCAA8B7" w14:textId="4E95018B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Wszystkie urządzenia zostały zaprojektowane w</w:t>
            </w:r>
            <w:r>
              <w:rPr>
                <w:sz w:val="24"/>
                <w:szCs w:val="24"/>
              </w:rPr>
              <w:t> </w:t>
            </w:r>
            <w:r w:rsidRPr="00314EE6">
              <w:rPr>
                <w:sz w:val="24"/>
                <w:szCs w:val="24"/>
              </w:rPr>
              <w:t>sposób zapewniający ograniczenie zużycia</w:t>
            </w:r>
          </w:p>
          <w:p w14:paraId="7CB769AA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energii i materiałów eksploatacyjnych i</w:t>
            </w:r>
          </w:p>
          <w:p w14:paraId="235DA242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posiadają:</w:t>
            </w:r>
          </w:p>
          <w:p w14:paraId="5A268F6C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- umożliwiają demontaż i odzysk elementów</w:t>
            </w:r>
          </w:p>
          <w:p w14:paraId="14590D16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metalowych i plastikowych.</w:t>
            </w:r>
          </w:p>
          <w:p w14:paraId="72AB501E" w14:textId="77777777" w:rsid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lastRenderedPageBreak/>
              <w:t>- możliwość odzysku materiałów metalowych i</w:t>
            </w:r>
            <w:r>
              <w:rPr>
                <w:sz w:val="24"/>
                <w:szCs w:val="24"/>
              </w:rPr>
              <w:t> </w:t>
            </w:r>
            <w:r w:rsidRPr="00314EE6">
              <w:rPr>
                <w:sz w:val="24"/>
                <w:szCs w:val="24"/>
              </w:rPr>
              <w:t>plastikowych po zakończeniu eksploatacji.</w:t>
            </w:r>
          </w:p>
          <w:p w14:paraId="0A453383" w14:textId="06D5F388" w:rsidR="00F8171C" w:rsidRPr="00F8171C" w:rsidRDefault="00314EE6" w:rsidP="00F8171C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- są pozbawione ftalanów, ołowiu i rtęci.</w:t>
            </w:r>
          </w:p>
        </w:tc>
        <w:tc>
          <w:tcPr>
            <w:tcW w:w="3541" w:type="dxa"/>
            <w:vMerge/>
          </w:tcPr>
          <w:p w14:paraId="1BD5E669" w14:textId="77777777" w:rsidR="00C04435" w:rsidRPr="00A44390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14EE6" w:rsidRPr="00A44390" w14:paraId="3A6991DE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5D3401DF" w14:textId="77777777" w:rsidR="00314EE6" w:rsidRPr="00A44390" w:rsidRDefault="00314EE6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B4E5110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Dostawa urządzeń i wyposażenia zostanie</w:t>
            </w:r>
          </w:p>
          <w:p w14:paraId="568886A9" w14:textId="77777777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zrealizowana przy użyciu niskoemisyjnych</w:t>
            </w:r>
          </w:p>
          <w:p w14:paraId="2F38A406" w14:textId="3335EBF5" w:rsidR="00314EE6" w:rsidRPr="00314EE6" w:rsidRDefault="00314EE6" w:rsidP="00314EE6">
            <w:pPr>
              <w:rPr>
                <w:sz w:val="24"/>
                <w:szCs w:val="24"/>
              </w:rPr>
            </w:pPr>
            <w:r w:rsidRPr="00314EE6">
              <w:rPr>
                <w:sz w:val="24"/>
                <w:szCs w:val="24"/>
              </w:rPr>
              <w:t>środków transportu.</w:t>
            </w:r>
          </w:p>
        </w:tc>
        <w:tc>
          <w:tcPr>
            <w:tcW w:w="3541" w:type="dxa"/>
          </w:tcPr>
          <w:p w14:paraId="2AF9561E" w14:textId="77777777" w:rsidR="00314EE6" w:rsidRPr="00A44390" w:rsidRDefault="00314EE6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1312B16A" w:rsidR="004D3C3F" w:rsidRPr="00FF33D1" w:rsidRDefault="00FF33D1" w:rsidP="00FF33D1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FF33D1">
              <w:rPr>
                <w:rStyle w:val="eop"/>
                <w:rFonts w:cstheme="minorHAnsi"/>
                <w:b/>
                <w:bCs/>
                <w:sz w:val="24"/>
                <w:szCs w:val="24"/>
              </w:rPr>
              <w:t>Defibrylator treningowy AED do bezpiecznej nauki automatycznej defibrylacji zewnętrznej – 10 szt.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3F50E4A3" w:rsidR="000A0B96" w:rsidRPr="00A44390" w:rsidRDefault="00FF33D1" w:rsidP="00033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F33D1">
              <w:rPr>
                <w:rFonts w:cstheme="minorHAnsi"/>
                <w:sz w:val="24"/>
                <w:szCs w:val="24"/>
              </w:rPr>
              <w:t>Defibrylator wygląda jak realny defibrylator stosowany w przestrzeni publicznej oraz wydaje użytkownikowi takie same polecenia trybu doradczego jak prawdziwy defibrylator półautomatyczny (w języku polskim) stosowany w przestrzeni publicznej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2C13E65A" w:rsidR="00FF33D1" w:rsidRPr="00A44390" w:rsidRDefault="00FF33D1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F33D1">
              <w:rPr>
                <w:rFonts w:cstheme="minorHAnsi"/>
                <w:sz w:val="24"/>
                <w:szCs w:val="24"/>
              </w:rPr>
              <w:t>Minimum 5 wbudowanych scenariuszy zdarzeń zawierających różne kombinacje defibrylacji, wyników analizy, ich kolejności, itd.  Możliwość tworzenia własnych scenariuszy za pomocą aplikacji na smartfony.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62476428" w:rsidR="00543AAA" w:rsidRPr="00A44390" w:rsidRDefault="00FF33D1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F33D1">
              <w:rPr>
                <w:rFonts w:cstheme="minorHAnsi"/>
                <w:sz w:val="24"/>
                <w:szCs w:val="24"/>
              </w:rPr>
              <w:t>Możliwość zmiany języka komunikacji defibrylatora z języka polskiego na język angielski.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12037362" w:rsidR="00543AAA" w:rsidRPr="00A44390" w:rsidRDefault="00FF33D1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F33D1">
              <w:rPr>
                <w:rFonts w:cstheme="minorHAnsi"/>
                <w:sz w:val="24"/>
                <w:szCs w:val="24"/>
              </w:rPr>
              <w:t>Możliwość obsługi za pomocą aplikacji mobilnej na smartfony.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63AC8182" w:rsidR="00543AAA" w:rsidRPr="00A44390" w:rsidRDefault="00FF33D1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F33D1">
              <w:rPr>
                <w:rFonts w:cstheme="minorHAnsi"/>
                <w:sz w:val="24"/>
                <w:szCs w:val="24"/>
              </w:rPr>
              <w:t>Możliwość zmiany trybu na pediatryczny.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41764C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966DD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C01A31C" w14:textId="13DC676F" w:rsidR="00543AAA" w:rsidRPr="00A44390" w:rsidRDefault="00FF33D1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F33D1">
              <w:rPr>
                <w:rFonts w:cstheme="minorHAnsi"/>
                <w:sz w:val="24"/>
                <w:szCs w:val="24"/>
              </w:rPr>
              <w:t>Czas pracy na bateriach minimum 10 godzin.</w:t>
            </w:r>
          </w:p>
        </w:tc>
        <w:tc>
          <w:tcPr>
            <w:tcW w:w="3541" w:type="dxa"/>
            <w:shd w:val="clear" w:color="auto" w:fill="FFFFFF" w:themeFill="background1"/>
          </w:tcPr>
          <w:p w14:paraId="55DB2B42" w14:textId="7BD13EC9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20AB4" w:rsidRPr="00A44390" w14:paraId="1F1DE39C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78D50496" w14:textId="72BC42BA" w:rsidR="00E20AB4" w:rsidRPr="00A44390" w:rsidRDefault="00FF33D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FF33D1">
              <w:rPr>
                <w:rFonts w:cstheme="minorHAnsi"/>
                <w:b/>
                <w:bCs/>
                <w:sz w:val="24"/>
                <w:szCs w:val="24"/>
              </w:rPr>
              <w:t>Elektrody szkoleniowe do defibrylacji osób dorosłych AED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– 40 szt.</w:t>
            </w: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C09F31B" w14:textId="7ABAA7BB" w:rsidR="000A0B96" w:rsidRPr="00A44390" w:rsidRDefault="00B80385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80385">
              <w:rPr>
                <w:rFonts w:cstheme="minorHAnsi"/>
                <w:sz w:val="24"/>
                <w:szCs w:val="24"/>
              </w:rPr>
              <w:t>kompatybilne z zamawianym defibrylatorem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074B4" w14:textId="5BBA3F92" w:rsidR="004D3C3F" w:rsidRPr="00A44390" w:rsidRDefault="00B80385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80385">
              <w:rPr>
                <w:rFonts w:cstheme="minorHAnsi"/>
                <w:sz w:val="24"/>
                <w:szCs w:val="24"/>
              </w:rPr>
              <w:t>możliwość użytku z fantomami osób dorosłych jak i z pacjentami standaryzowanymi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42780A" w14:textId="0D433398" w:rsidR="004D3C3F" w:rsidRPr="00B80385" w:rsidRDefault="004312A1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4312A1">
              <w:rPr>
                <w:rFonts w:cstheme="minorHAnsi"/>
                <w:sz w:val="24"/>
                <w:szCs w:val="24"/>
              </w:rPr>
              <w:t xml:space="preserve">elektrody </w:t>
            </w:r>
            <w:r w:rsidR="00B80385" w:rsidRPr="004312A1">
              <w:rPr>
                <w:rFonts w:cstheme="minorHAnsi"/>
                <w:sz w:val="24"/>
                <w:szCs w:val="24"/>
              </w:rPr>
              <w:t>umożliwiające szkolenie w zakresie prawidłowego umieszczania elektrod i korzystania z defibrylatora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013DB093" w:rsidR="004D3C3F" w:rsidRPr="00A44390" w:rsidRDefault="00B80385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77558" w:rsidRPr="00A44390" w14:paraId="6C1FDB32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12268DF0" w14:textId="220F5B68" w:rsidR="00077558" w:rsidRPr="00A44390" w:rsidRDefault="00B80385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B80385">
              <w:rPr>
                <w:rFonts w:cstheme="minorHAnsi"/>
                <w:b/>
                <w:bCs/>
                <w:sz w:val="24"/>
                <w:szCs w:val="24"/>
              </w:rPr>
              <w:t>Elektrody szkoleniowe do defibrylacji dzieci AED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– 10 szt.</w:t>
            </w:r>
          </w:p>
        </w:tc>
      </w:tr>
      <w:tr w:rsidR="00077558" w:rsidRPr="00A44390" w14:paraId="454FFEB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67DEBAE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7C75929" w14:textId="01D65F65" w:rsidR="00077558" w:rsidRPr="00B80385" w:rsidRDefault="00B80385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9F156E">
              <w:rPr>
                <w:rFonts w:cstheme="minorHAnsi"/>
                <w:sz w:val="24"/>
                <w:szCs w:val="24"/>
              </w:rPr>
              <w:t>kompatybilne z zamawianym defibrylatorem</w:t>
            </w:r>
          </w:p>
        </w:tc>
        <w:tc>
          <w:tcPr>
            <w:tcW w:w="3541" w:type="dxa"/>
            <w:shd w:val="clear" w:color="auto" w:fill="FFFFFF" w:themeFill="background1"/>
          </w:tcPr>
          <w:p w14:paraId="15B469EA" w14:textId="079EA733" w:rsidR="00077558" w:rsidRPr="00B80385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77558" w:rsidRPr="00A44390" w14:paraId="46DFC1D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D0E65C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F222352" w14:textId="29BA1053" w:rsidR="00077558" w:rsidRPr="00AC5FC6" w:rsidRDefault="00B80385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80385">
              <w:rPr>
                <w:rFonts w:cstheme="minorHAnsi"/>
                <w:sz w:val="24"/>
                <w:szCs w:val="24"/>
              </w:rPr>
              <w:t>możliwość użytku ze wszystkimi rodzajami manekinów i standardowych pacjentów, przy  prawidłowym umieszczeniu elektrod</w:t>
            </w:r>
          </w:p>
        </w:tc>
        <w:tc>
          <w:tcPr>
            <w:tcW w:w="3541" w:type="dxa"/>
            <w:shd w:val="clear" w:color="auto" w:fill="FFFFFF" w:themeFill="background1"/>
          </w:tcPr>
          <w:p w14:paraId="0BB20112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5E54472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9B26476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BC4D510" w14:textId="5C580E20" w:rsidR="00077558" w:rsidRPr="00077558" w:rsidRDefault="004312A1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elektrody </w:t>
            </w:r>
            <w:r w:rsidR="00B80385" w:rsidRPr="00B80385">
              <w:rPr>
                <w:rFonts w:cstheme="minorHAnsi"/>
                <w:sz w:val="24"/>
                <w:szCs w:val="24"/>
              </w:rPr>
              <w:t>umożliwiające szkolenie w zakresie prawidłowego umieszczania elektrod i</w:t>
            </w:r>
            <w:r w:rsidR="00B80385">
              <w:rPr>
                <w:rFonts w:cstheme="minorHAnsi"/>
                <w:sz w:val="24"/>
                <w:szCs w:val="24"/>
              </w:rPr>
              <w:t> </w:t>
            </w:r>
            <w:r w:rsidR="00B80385" w:rsidRPr="00B80385">
              <w:rPr>
                <w:rFonts w:cstheme="minorHAnsi"/>
                <w:sz w:val="24"/>
                <w:szCs w:val="24"/>
              </w:rPr>
              <w:t>korzystania z defibrylatora</w:t>
            </w:r>
          </w:p>
        </w:tc>
        <w:tc>
          <w:tcPr>
            <w:tcW w:w="3541" w:type="dxa"/>
            <w:shd w:val="clear" w:color="auto" w:fill="FFFFFF" w:themeFill="background1"/>
          </w:tcPr>
          <w:p w14:paraId="092EAA9F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E1D7ADD" w14:textId="77777777" w:rsidR="009F156E" w:rsidRDefault="009F156E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3C595ED" w14:textId="6C810EB1" w:rsidR="00314EE6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0333C1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zostały uwzględnione w opisie przedmiotu zamówienia wymogi dostępności dla osób ze szczególnymi potrzebami zgodnie z zasadami wynikającymi z postanowień ustawy z dnia 19 lipca 2019 r. o zapewnieniu dostępności osobom ze szczególnymi potrzebami.</w:t>
      </w:r>
    </w:p>
    <w:p w14:paraId="72F0FFB7" w14:textId="77777777" w:rsidR="00314EE6" w:rsidRPr="002D2573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D257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Wymogi dostępności dla osób ze szczególnymi potrzebami zostały uwzględnione w następującym zakresie:</w:t>
      </w:r>
    </w:p>
    <w:p w14:paraId="65320770" w14:textId="7536EE4D" w:rsidR="00314EE6" w:rsidRPr="00314EE6" w:rsidRDefault="00314EE6" w:rsidP="00314EE6">
      <w:pPr>
        <w:spacing w:before="120" w:after="120" w:line="288" w:lineRule="auto"/>
        <w:ind w:left="142" w:right="45" w:hanging="142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- 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intuicyjną i prostą obsługę, umożliwiającą użytkowanie również przez osoby z ograniczeniami poznawczymi,</w:t>
      </w:r>
    </w:p>
    <w:p w14:paraId="4B544A00" w14:textId="3CB46CED" w:rsidR="00314EE6" w:rsidRPr="00314EE6" w:rsidRDefault="00314EE6" w:rsidP="00314EE6">
      <w:pPr>
        <w:spacing w:before="120" w:after="120" w:line="288" w:lineRule="auto"/>
        <w:ind w:left="142" w:right="45" w:hanging="142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- 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czytelne komunikaty głosowe oraz wizualne, wspierające prawidłowe wykonanie czynności szkoleniowych,</w:t>
      </w:r>
    </w:p>
    <w:p w14:paraId="7BA7B491" w14:textId="1854BC20" w:rsidR="00314EE6" w:rsidRPr="00314EE6" w:rsidRDefault="00314EE6" w:rsidP="00314EE6">
      <w:pPr>
        <w:spacing w:before="120" w:after="120" w:line="288" w:lineRule="auto"/>
        <w:ind w:left="142" w:right="45" w:hanging="142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- 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wyraźnie oznaczone elementy sterujące i akcesoria, ułatwiające identyfikację i obsługę,</w:t>
      </w:r>
    </w:p>
    <w:p w14:paraId="6BC72552" w14:textId="77516DD6" w:rsidR="00314EE6" w:rsidRPr="00314EE6" w:rsidRDefault="00314EE6" w:rsidP="00314EE6">
      <w:pPr>
        <w:spacing w:before="120" w:after="120" w:line="288" w:lineRule="auto"/>
        <w:ind w:left="142" w:right="45" w:hanging="142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- 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możliwość prowadzenia szkolenia w trybie dostosowanym do poziomu uczestników,</w:t>
      </w:r>
    </w:p>
    <w:p w14:paraId="51EFA45D" w14:textId="4B249029" w:rsidR="00314EE6" w:rsidRPr="00314EE6" w:rsidRDefault="00314EE6" w:rsidP="00314EE6">
      <w:pPr>
        <w:spacing w:before="120" w:after="120" w:line="288" w:lineRule="auto"/>
        <w:ind w:left="142" w:right="45" w:hanging="142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- 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lekką i ergonomiczną konstrukcję, ułatwiającą transport oraz użytkowanie,</w:t>
      </w:r>
    </w:p>
    <w:p w14:paraId="0A8FD933" w14:textId="306F37FB" w:rsidR="00314EE6" w:rsidRPr="00314EE6" w:rsidRDefault="00314EE6" w:rsidP="00314EE6">
      <w:pPr>
        <w:spacing w:before="120" w:after="120" w:line="288" w:lineRule="auto"/>
        <w:ind w:left="142" w:right="45" w:hanging="142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- 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kompatybilność z dodatkowymi akcesoriami szkoleniowymi, w tym elektrodami treningowymi, umożliwiającą realizację różnorodnych scenariuszy dydaktycznych.</w:t>
      </w:r>
    </w:p>
    <w:p w14:paraId="599668D4" w14:textId="6C494C30" w:rsidR="00314EE6" w:rsidRPr="00314EE6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Defibrylator treningowy AED wspiera realizację szkoleń z zakresu pierwszej pomocy w</w:t>
      </w:r>
      <w:r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sposób zapewniający równy dostęp do nauki dla wszystkich uczestników, zgodnie z</w:t>
      </w:r>
      <w:r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zasadami projektowania uniwersalnego.</w:t>
      </w:r>
    </w:p>
    <w:p w14:paraId="2B8C631D" w14:textId="52FCC2C6" w:rsidR="002D2573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314EE6">
        <w:rPr>
          <w:rFonts w:ascii="Calibri" w:eastAsia="Times New Roman" w:hAnsi="Calibri" w:cs="Calibri"/>
          <w:sz w:val="24"/>
          <w:szCs w:val="24"/>
          <w:lang w:eastAsia="pl-PL"/>
        </w:rPr>
        <w:t>Urządzenie spełnia wymagania w zakresie dostępności wynikające z obowiązujących przepisów oraz dobrych praktyk.</w:t>
      </w:r>
    </w:p>
    <w:p w14:paraId="45C91127" w14:textId="77777777" w:rsidR="00314EE6" w:rsidRPr="00BB60DC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CF89B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1BE3FE64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14A2F6E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4AE7CF91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0F4D1F0B" w14:textId="685B5B6E" w:rsidR="00D31607" w:rsidRPr="001B10D1" w:rsidRDefault="00D31607" w:rsidP="00BB60DC">
      <w:pPr>
        <w:tabs>
          <w:tab w:val="center" w:pos="7655"/>
        </w:tabs>
        <w:spacing w:before="120" w:after="120" w:line="288" w:lineRule="auto"/>
        <w:ind w:left="3686"/>
        <w:jc w:val="center"/>
        <w:rPr>
          <w:rFonts w:ascii="Calibri" w:eastAsia="Calibri" w:hAnsi="Calibri" w:cs="Calibri"/>
          <w:sz w:val="24"/>
        </w:rPr>
      </w:pPr>
    </w:p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CC93" w14:textId="77777777" w:rsidR="002B39BF" w:rsidRDefault="002B39BF" w:rsidP="00D31607">
      <w:pPr>
        <w:spacing w:after="0" w:line="240" w:lineRule="auto"/>
      </w:pPr>
      <w:r>
        <w:separator/>
      </w:r>
    </w:p>
  </w:endnote>
  <w:endnote w:type="continuationSeparator" w:id="0">
    <w:p w14:paraId="683B88DF" w14:textId="77777777" w:rsidR="002B39BF" w:rsidRDefault="002B39BF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122C3045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6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4C30E2DF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95F1" w14:textId="77777777" w:rsidR="002B39BF" w:rsidRDefault="002B39BF" w:rsidP="00D31607">
      <w:pPr>
        <w:spacing w:after="0" w:line="240" w:lineRule="auto"/>
      </w:pPr>
      <w:r>
        <w:separator/>
      </w:r>
    </w:p>
  </w:footnote>
  <w:footnote w:type="continuationSeparator" w:id="0">
    <w:p w14:paraId="2303CA58" w14:textId="77777777" w:rsidR="002B39BF" w:rsidRDefault="002B39BF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78FCE6A0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314EE6">
      <w:rPr>
        <w:rFonts w:asciiTheme="minorHAnsi" w:hAnsiTheme="minorHAnsi" w:cstheme="minorHAnsi"/>
        <w:color w:val="00000A"/>
      </w:rPr>
      <w:t>5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1"/>
  </w:num>
  <w:num w:numId="3">
    <w:abstractNumId w:val="42"/>
  </w:num>
  <w:num w:numId="4">
    <w:abstractNumId w:val="33"/>
  </w:num>
  <w:num w:numId="5">
    <w:abstractNumId w:val="40"/>
  </w:num>
  <w:num w:numId="6">
    <w:abstractNumId w:val="37"/>
  </w:num>
  <w:num w:numId="7">
    <w:abstractNumId w:val="15"/>
  </w:num>
  <w:num w:numId="8">
    <w:abstractNumId w:val="22"/>
  </w:num>
  <w:num w:numId="9">
    <w:abstractNumId w:val="23"/>
  </w:num>
  <w:num w:numId="10">
    <w:abstractNumId w:val="34"/>
  </w:num>
  <w:num w:numId="11">
    <w:abstractNumId w:val="36"/>
  </w:num>
  <w:num w:numId="12">
    <w:abstractNumId w:val="31"/>
  </w:num>
  <w:num w:numId="13">
    <w:abstractNumId w:val="38"/>
  </w:num>
  <w:num w:numId="14">
    <w:abstractNumId w:val="25"/>
  </w:num>
  <w:num w:numId="15">
    <w:abstractNumId w:val="30"/>
  </w:num>
  <w:num w:numId="16">
    <w:abstractNumId w:val="5"/>
  </w:num>
  <w:num w:numId="17">
    <w:abstractNumId w:val="21"/>
  </w:num>
  <w:num w:numId="18">
    <w:abstractNumId w:val="12"/>
  </w:num>
  <w:num w:numId="19">
    <w:abstractNumId w:val="44"/>
  </w:num>
  <w:num w:numId="20">
    <w:abstractNumId w:val="6"/>
  </w:num>
  <w:num w:numId="21">
    <w:abstractNumId w:val="4"/>
  </w:num>
  <w:num w:numId="22">
    <w:abstractNumId w:val="8"/>
  </w:num>
  <w:num w:numId="23">
    <w:abstractNumId w:val="19"/>
  </w:num>
  <w:num w:numId="24">
    <w:abstractNumId w:val="26"/>
  </w:num>
  <w:num w:numId="25">
    <w:abstractNumId w:val="14"/>
  </w:num>
  <w:num w:numId="26">
    <w:abstractNumId w:val="29"/>
  </w:num>
  <w:num w:numId="27">
    <w:abstractNumId w:val="32"/>
  </w:num>
  <w:num w:numId="28">
    <w:abstractNumId w:val="9"/>
  </w:num>
  <w:num w:numId="29">
    <w:abstractNumId w:val="24"/>
  </w:num>
  <w:num w:numId="30">
    <w:abstractNumId w:val="27"/>
  </w:num>
  <w:num w:numId="31">
    <w:abstractNumId w:val="1"/>
  </w:num>
  <w:num w:numId="32">
    <w:abstractNumId w:val="35"/>
  </w:num>
  <w:num w:numId="33">
    <w:abstractNumId w:val="3"/>
  </w:num>
  <w:num w:numId="34">
    <w:abstractNumId w:val="10"/>
  </w:num>
  <w:num w:numId="35">
    <w:abstractNumId w:val="41"/>
  </w:num>
  <w:num w:numId="36">
    <w:abstractNumId w:val="7"/>
  </w:num>
  <w:num w:numId="37">
    <w:abstractNumId w:val="18"/>
  </w:num>
  <w:num w:numId="38">
    <w:abstractNumId w:val="39"/>
  </w:num>
  <w:num w:numId="39">
    <w:abstractNumId w:val="17"/>
  </w:num>
  <w:num w:numId="40">
    <w:abstractNumId w:val="20"/>
  </w:num>
  <w:num w:numId="41">
    <w:abstractNumId w:val="13"/>
  </w:num>
  <w:num w:numId="42">
    <w:abstractNumId w:val="16"/>
  </w:num>
  <w:num w:numId="43">
    <w:abstractNumId w:val="0"/>
  </w:num>
  <w:num w:numId="44">
    <w:abstractNumId w:val="43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77558"/>
    <w:rsid w:val="00085D03"/>
    <w:rsid w:val="00085E81"/>
    <w:rsid w:val="0009175B"/>
    <w:rsid w:val="0009269F"/>
    <w:rsid w:val="000A0B96"/>
    <w:rsid w:val="000B62D9"/>
    <w:rsid w:val="000D1EFF"/>
    <w:rsid w:val="000F16AC"/>
    <w:rsid w:val="00101F97"/>
    <w:rsid w:val="00127EBC"/>
    <w:rsid w:val="00137F90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E099C"/>
    <w:rsid w:val="00210AA5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F06C1"/>
    <w:rsid w:val="002F1D2D"/>
    <w:rsid w:val="002F4F82"/>
    <w:rsid w:val="00314EE6"/>
    <w:rsid w:val="00333817"/>
    <w:rsid w:val="003400F2"/>
    <w:rsid w:val="00340C14"/>
    <w:rsid w:val="00342C1F"/>
    <w:rsid w:val="003453CE"/>
    <w:rsid w:val="0036435A"/>
    <w:rsid w:val="003660C3"/>
    <w:rsid w:val="00373C1E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312A1"/>
    <w:rsid w:val="00435822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3C3F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D4338"/>
    <w:rsid w:val="005D50BC"/>
    <w:rsid w:val="005F00B8"/>
    <w:rsid w:val="00601B5E"/>
    <w:rsid w:val="00603C13"/>
    <w:rsid w:val="0061566F"/>
    <w:rsid w:val="00625C2F"/>
    <w:rsid w:val="00625E9C"/>
    <w:rsid w:val="00631581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E3BFE"/>
    <w:rsid w:val="008055C7"/>
    <w:rsid w:val="00834104"/>
    <w:rsid w:val="00837D40"/>
    <w:rsid w:val="00843DEC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A22CC"/>
    <w:rsid w:val="009B5134"/>
    <w:rsid w:val="009E5FAD"/>
    <w:rsid w:val="009F156E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66BD7"/>
    <w:rsid w:val="00A713E5"/>
    <w:rsid w:val="00A806F2"/>
    <w:rsid w:val="00A852B1"/>
    <w:rsid w:val="00AC5FC6"/>
    <w:rsid w:val="00B06ABA"/>
    <w:rsid w:val="00B146EC"/>
    <w:rsid w:val="00B15E31"/>
    <w:rsid w:val="00B34670"/>
    <w:rsid w:val="00B464E3"/>
    <w:rsid w:val="00B472E0"/>
    <w:rsid w:val="00B73CB2"/>
    <w:rsid w:val="00B762CE"/>
    <w:rsid w:val="00B7737B"/>
    <w:rsid w:val="00B80385"/>
    <w:rsid w:val="00B86D8C"/>
    <w:rsid w:val="00BB60D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F19FD"/>
    <w:rsid w:val="00D0023A"/>
    <w:rsid w:val="00D05C78"/>
    <w:rsid w:val="00D129A8"/>
    <w:rsid w:val="00D278E0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145D4"/>
    <w:rsid w:val="00E157F2"/>
    <w:rsid w:val="00E20AB4"/>
    <w:rsid w:val="00E257F9"/>
    <w:rsid w:val="00E44A4E"/>
    <w:rsid w:val="00EA52D0"/>
    <w:rsid w:val="00EF4202"/>
    <w:rsid w:val="00F00808"/>
    <w:rsid w:val="00F34ED5"/>
    <w:rsid w:val="00F46C80"/>
    <w:rsid w:val="00F61D1D"/>
    <w:rsid w:val="00F7007A"/>
    <w:rsid w:val="00F700D4"/>
    <w:rsid w:val="00F8171C"/>
    <w:rsid w:val="00F97B9A"/>
    <w:rsid w:val="00FA23F3"/>
    <w:rsid w:val="00FA732A"/>
    <w:rsid w:val="00FB0DAB"/>
    <w:rsid w:val="00FC4C74"/>
    <w:rsid w:val="00FC6E99"/>
    <w:rsid w:val="00FF33D1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107</cp:revision>
  <cp:lastPrinted>2024-09-13T07:09:00Z</cp:lastPrinted>
  <dcterms:created xsi:type="dcterms:W3CDTF">2024-10-08T08:01:00Z</dcterms:created>
  <dcterms:modified xsi:type="dcterms:W3CDTF">2026-04-21T11:22:00Z</dcterms:modified>
</cp:coreProperties>
</file>